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3AB" w:rsidRPr="00FD23AB" w:rsidRDefault="00865CCF" w:rsidP="00FD23AB">
      <w:pPr>
        <w:pStyle w:val="NoSpacing"/>
        <w:rPr>
          <w:b/>
          <w:sz w:val="20"/>
          <w:szCs w:val="20"/>
        </w:rPr>
      </w:pPr>
      <w:r w:rsidRPr="00FD23AB">
        <w:rPr>
          <w:b/>
          <w:sz w:val="20"/>
          <w:szCs w:val="20"/>
        </w:rPr>
        <w:t xml:space="preserve">Abstract 1 </w:t>
      </w:r>
      <w:bookmarkStart w:id="0" w:name="bau1"/>
    </w:p>
    <w:p w:rsidR="000426EB" w:rsidRDefault="000426EB" w:rsidP="00FD23AB">
      <w:pPr>
        <w:pStyle w:val="NoSpacing"/>
        <w:rPr>
          <w:rFonts w:cstheme="minorHAnsi"/>
          <w:sz w:val="16"/>
          <w:szCs w:val="16"/>
        </w:rPr>
      </w:pPr>
      <w:proofErr w:type="spellStart"/>
      <w:r w:rsidRPr="00FD23AB">
        <w:rPr>
          <w:rStyle w:val="text"/>
          <w:rFonts w:cstheme="minorHAnsi"/>
          <w:sz w:val="16"/>
          <w:szCs w:val="16"/>
        </w:rPr>
        <w:t>Hannan</w:t>
      </w:r>
      <w:proofErr w:type="spellEnd"/>
      <w:r w:rsidRPr="00FD23AB">
        <w:rPr>
          <w:rStyle w:val="text"/>
          <w:rFonts w:cstheme="minorHAnsi"/>
          <w:sz w:val="16"/>
          <w:szCs w:val="16"/>
        </w:rPr>
        <w:t>, N.R. F.,</w:t>
      </w:r>
      <w:bookmarkStart w:id="1" w:name="bau2"/>
      <w:bookmarkEnd w:id="0"/>
      <w:r w:rsidRPr="00FD23AB">
        <w:rPr>
          <w:rStyle w:val="text"/>
          <w:rFonts w:cstheme="minorHAnsi"/>
          <w:sz w:val="16"/>
          <w:szCs w:val="16"/>
        </w:rPr>
        <w:t xml:space="preserve"> Fordham, R. P., </w:t>
      </w:r>
      <w:proofErr w:type="spellStart"/>
      <w:r w:rsidRPr="00FD23AB">
        <w:rPr>
          <w:rStyle w:val="text"/>
          <w:rFonts w:cstheme="minorHAnsi"/>
          <w:sz w:val="16"/>
          <w:szCs w:val="16"/>
        </w:rPr>
        <w:t>Yasir</w:t>
      </w:r>
      <w:proofErr w:type="spellEnd"/>
      <w:r w:rsidRPr="00FD23AB">
        <w:rPr>
          <w:rStyle w:val="text"/>
          <w:rFonts w:cstheme="minorHAnsi"/>
          <w:sz w:val="16"/>
          <w:szCs w:val="16"/>
        </w:rPr>
        <w:t>, A.</w:t>
      </w:r>
      <w:bookmarkStart w:id="2" w:name="bau3"/>
      <w:bookmarkEnd w:id="1"/>
      <w:r w:rsidR="00FD23AB" w:rsidRPr="00FD23AB">
        <w:rPr>
          <w:rStyle w:val="text"/>
          <w:rFonts w:cstheme="minorHAnsi"/>
          <w:sz w:val="16"/>
          <w:szCs w:val="16"/>
        </w:rPr>
        <w:t xml:space="preserve"> </w:t>
      </w:r>
      <w:r w:rsidRPr="00FD23AB">
        <w:rPr>
          <w:rStyle w:val="text"/>
          <w:rFonts w:cstheme="minorHAnsi"/>
          <w:sz w:val="16"/>
          <w:szCs w:val="16"/>
        </w:rPr>
        <w:t>S</w:t>
      </w:r>
      <w:bookmarkStart w:id="3" w:name="bau4"/>
      <w:bookmarkEnd w:id="2"/>
      <w:r w:rsidRPr="00FD23AB">
        <w:rPr>
          <w:rStyle w:val="text"/>
          <w:rFonts w:cstheme="minorHAnsi"/>
          <w:sz w:val="16"/>
          <w:szCs w:val="16"/>
        </w:rPr>
        <w:t xml:space="preserve">., </w:t>
      </w:r>
      <w:hyperlink r:id="rId6" w:anchor="!" w:history="1">
        <w:proofErr w:type="spellStart"/>
        <w:r w:rsidRPr="00FD23AB">
          <w:rPr>
            <w:rStyle w:val="text"/>
            <w:rFonts w:cstheme="minorHAnsi"/>
            <w:sz w:val="16"/>
            <w:szCs w:val="16"/>
          </w:rPr>
          <w:t>Moignard</w:t>
        </w:r>
        <w:proofErr w:type="spellEnd"/>
        <w:r w:rsidRPr="00FD23AB">
          <w:rPr>
            <w:rStyle w:val="text"/>
            <w:rFonts w:cstheme="minorHAnsi"/>
            <w:sz w:val="16"/>
            <w:szCs w:val="16"/>
          </w:rPr>
          <w:t xml:space="preserve">, V. </w:t>
        </w:r>
      </w:hyperlink>
      <w:bookmarkStart w:id="4" w:name="bau5"/>
      <w:bookmarkEnd w:id="3"/>
      <w:r w:rsidRPr="00FD23AB">
        <w:rPr>
          <w:rStyle w:val="text"/>
          <w:rFonts w:cstheme="minorHAnsi"/>
          <w:sz w:val="16"/>
          <w:szCs w:val="16"/>
        </w:rPr>
        <w:t xml:space="preserve">Berry, A. </w:t>
      </w:r>
      <w:bookmarkStart w:id="5" w:name="bau6"/>
      <w:bookmarkEnd w:id="4"/>
      <w:r w:rsidRPr="00FD23AB">
        <w:rPr>
          <w:rStyle w:val="text"/>
          <w:rFonts w:cstheme="minorHAnsi"/>
          <w:sz w:val="16"/>
          <w:szCs w:val="16"/>
        </w:rPr>
        <w:t>Bautista</w:t>
      </w:r>
      <w:r w:rsidR="00FD23AB" w:rsidRPr="00FD23AB">
        <w:rPr>
          <w:rStyle w:val="text"/>
          <w:rFonts w:cstheme="minorHAnsi"/>
          <w:sz w:val="16"/>
          <w:szCs w:val="16"/>
        </w:rPr>
        <w:t xml:space="preserve">, R. </w:t>
      </w:r>
      <w:bookmarkStart w:id="6" w:name="bau7"/>
      <w:bookmarkEnd w:id="5"/>
      <w:r w:rsidRPr="00FD23AB">
        <w:rPr>
          <w:rStyle w:val="text"/>
          <w:rFonts w:cstheme="minorHAnsi"/>
          <w:sz w:val="16"/>
          <w:szCs w:val="16"/>
        </w:rPr>
        <w:t>Hanley</w:t>
      </w:r>
      <w:r w:rsidR="00FD23AB" w:rsidRPr="00FD23AB">
        <w:rPr>
          <w:rStyle w:val="text"/>
          <w:rFonts w:cstheme="minorHAnsi"/>
          <w:sz w:val="16"/>
          <w:szCs w:val="16"/>
        </w:rPr>
        <w:t xml:space="preserve">, N. A., </w:t>
      </w:r>
      <w:bookmarkStart w:id="7" w:name="bau8"/>
      <w:bookmarkEnd w:id="6"/>
      <w:r w:rsidRPr="00FD23AB">
        <w:rPr>
          <w:rFonts w:cstheme="minorHAnsi"/>
          <w:sz w:val="16"/>
          <w:szCs w:val="16"/>
        </w:rPr>
        <w:fldChar w:fldCharType="begin"/>
      </w:r>
      <w:r w:rsidRPr="00FD23AB">
        <w:rPr>
          <w:rFonts w:cstheme="minorHAnsi"/>
          <w:sz w:val="16"/>
          <w:szCs w:val="16"/>
        </w:rPr>
        <w:instrText xml:space="preserve"> HYPERLINK "https://www-sciencedirect-com.ezproxy.lib.uts.edu.au/science/article/pii/S2213671113000908" \l "!" </w:instrText>
      </w:r>
      <w:r w:rsidRPr="00FD23AB">
        <w:rPr>
          <w:rFonts w:cstheme="minorHAnsi"/>
          <w:sz w:val="16"/>
          <w:szCs w:val="16"/>
        </w:rPr>
        <w:fldChar w:fldCharType="separate"/>
      </w:r>
      <w:r w:rsidRPr="00FD23AB">
        <w:rPr>
          <w:rStyle w:val="text"/>
          <w:rFonts w:cstheme="minorHAnsi"/>
          <w:sz w:val="16"/>
          <w:szCs w:val="16"/>
        </w:rPr>
        <w:t>Jensen</w:t>
      </w:r>
      <w:r w:rsidR="00FD23AB" w:rsidRPr="00FD23AB">
        <w:rPr>
          <w:rStyle w:val="text"/>
          <w:rFonts w:cstheme="minorHAnsi"/>
          <w:sz w:val="16"/>
          <w:szCs w:val="16"/>
        </w:rPr>
        <w:t xml:space="preserve">, K. B., </w:t>
      </w:r>
      <w:r w:rsidRPr="00FD23AB">
        <w:rPr>
          <w:rFonts w:cstheme="minorHAnsi"/>
          <w:sz w:val="16"/>
          <w:szCs w:val="16"/>
        </w:rPr>
        <w:fldChar w:fldCharType="end"/>
      </w:r>
      <w:bookmarkStart w:id="8" w:name="bau9"/>
      <w:bookmarkEnd w:id="7"/>
      <w:r w:rsidRPr="00FD23AB">
        <w:rPr>
          <w:rFonts w:cstheme="minorHAnsi"/>
          <w:sz w:val="16"/>
          <w:szCs w:val="16"/>
        </w:rPr>
        <w:fldChar w:fldCharType="begin"/>
      </w:r>
      <w:r w:rsidRPr="00FD23AB">
        <w:rPr>
          <w:rFonts w:cstheme="minorHAnsi"/>
          <w:sz w:val="16"/>
          <w:szCs w:val="16"/>
        </w:rPr>
        <w:instrText xml:space="preserve"> HYPERLINK "https://www-sciencedirect-com.ezproxy.lib.uts.edu.au/science/article/pii/S2213671113000908" \l "!" </w:instrText>
      </w:r>
      <w:r w:rsidRPr="00FD23AB">
        <w:rPr>
          <w:rFonts w:cstheme="minorHAnsi"/>
          <w:sz w:val="16"/>
          <w:szCs w:val="16"/>
        </w:rPr>
        <w:fldChar w:fldCharType="separate"/>
      </w:r>
      <w:proofErr w:type="spellStart"/>
      <w:r w:rsidRPr="00FD23AB">
        <w:rPr>
          <w:rStyle w:val="text"/>
          <w:rFonts w:cstheme="minorHAnsi"/>
          <w:sz w:val="16"/>
          <w:szCs w:val="16"/>
        </w:rPr>
        <w:t>Vallier</w:t>
      </w:r>
      <w:proofErr w:type="spellEnd"/>
      <w:r w:rsidR="00FD23AB" w:rsidRPr="00FD23AB">
        <w:rPr>
          <w:rStyle w:val="text"/>
          <w:rFonts w:cstheme="minorHAnsi"/>
          <w:sz w:val="16"/>
          <w:szCs w:val="16"/>
        </w:rPr>
        <w:t xml:space="preserve">, L. </w:t>
      </w:r>
      <w:r w:rsidRPr="00FD23AB">
        <w:rPr>
          <w:rFonts w:cstheme="minorHAnsi"/>
          <w:sz w:val="16"/>
          <w:szCs w:val="16"/>
        </w:rPr>
        <w:fldChar w:fldCharType="end"/>
      </w:r>
      <w:bookmarkEnd w:id="8"/>
      <w:r w:rsidR="00FD23AB" w:rsidRPr="00FD23AB">
        <w:rPr>
          <w:rFonts w:cstheme="minorHAnsi"/>
          <w:sz w:val="16"/>
          <w:szCs w:val="16"/>
        </w:rPr>
        <w:t xml:space="preserve">(2013). </w:t>
      </w:r>
      <w:r w:rsidRPr="00FD23AB">
        <w:rPr>
          <w:rFonts w:cstheme="minorHAnsi"/>
          <w:sz w:val="16"/>
          <w:szCs w:val="16"/>
        </w:rPr>
        <w:t xml:space="preserve">Generation of Multipotent Foregut Stem Cells from Human Pluripotent Stem Cells. </w:t>
      </w:r>
      <w:r w:rsidR="00FD23AB" w:rsidRPr="00FD23AB">
        <w:rPr>
          <w:rFonts w:cstheme="minorHAnsi"/>
          <w:i/>
          <w:sz w:val="16"/>
          <w:szCs w:val="16"/>
        </w:rPr>
        <w:t xml:space="preserve">Stem Cell Reports, 1 </w:t>
      </w:r>
      <w:r w:rsidR="00FD23AB" w:rsidRPr="00FD23AB">
        <w:rPr>
          <w:rFonts w:cstheme="minorHAnsi"/>
          <w:sz w:val="16"/>
          <w:szCs w:val="16"/>
        </w:rPr>
        <w:t xml:space="preserve">(4), 293-306. </w:t>
      </w:r>
    </w:p>
    <w:p w:rsidR="00363109" w:rsidRDefault="00363109" w:rsidP="00FD23AB">
      <w:pPr>
        <w:pStyle w:val="NoSpacing"/>
        <w:rPr>
          <w:rFonts w:cstheme="minorHAnsi"/>
          <w:sz w:val="16"/>
          <w:szCs w:val="16"/>
        </w:rPr>
      </w:pPr>
      <w:r>
        <w:rPr>
          <w:rFonts w:cstheme="minorHAnsi"/>
          <w:sz w:val="16"/>
          <w:szCs w:val="16"/>
        </w:rPr>
        <w:t xml:space="preserve">Reproduced under Creative Commons license 3.0 </w:t>
      </w:r>
      <w:r w:rsidR="00320954" w:rsidRPr="00320954">
        <w:rPr>
          <w:rFonts w:cstheme="minorHAnsi"/>
          <w:sz w:val="16"/>
          <w:szCs w:val="16"/>
        </w:rPr>
        <w:t>https://creativecommons.org/licenses/by/3.0/legalcode</w:t>
      </w:r>
    </w:p>
    <w:p w:rsidR="00FD23AB" w:rsidRPr="00FD23AB" w:rsidRDefault="00FD23AB" w:rsidP="00FD23AB">
      <w:pPr>
        <w:pStyle w:val="NoSpacing"/>
      </w:pPr>
    </w:p>
    <w:p w:rsidR="008345D2" w:rsidRDefault="005F1868" w:rsidP="00865CCF">
      <w:sdt>
        <w:sdtPr>
          <w:alias w:val="Move 1 "/>
          <w:tag w:val="Move 1 "/>
          <w:id w:val="1026988019"/>
          <w:lock w:val="sdtContentLocked"/>
          <w:placeholder>
            <w:docPart w:val="DefaultPlaceholder_-1854013440"/>
          </w:placeholder>
          <w15:color w:val="FF99CC"/>
        </w:sdtPr>
        <w:sdtEndPr/>
        <w:sdtContent>
          <w:r w:rsidR="00865CCF">
            <w:t>Human pluripotent stem cells (hPSCs) could provide an infinite source of clinically relevant cells with potential applications in regenerative medicine.</w:t>
          </w:r>
        </w:sdtContent>
      </w:sdt>
      <w:r w:rsidR="00865CCF">
        <w:t xml:space="preserve"> </w:t>
      </w:r>
      <w:sdt>
        <w:sdtPr>
          <w:alias w:val="Move 2"/>
          <w:tag w:val="Move 2"/>
          <w:id w:val="-1793593129"/>
          <w:lock w:val="sdtContentLocked"/>
          <w:placeholder>
            <w:docPart w:val="DefaultPlaceholder_-1854013440"/>
          </w:placeholder>
          <w15:color w:val="00CCFF"/>
        </w:sdtPr>
        <w:sdtEndPr/>
        <w:sdtContent>
          <w:r w:rsidR="00865CCF">
            <w:t>However, hPSC lines vary in their capacity to generate specialized cells, and the development of universal protocols for the production of tissue-specific cells remains a major challenge.</w:t>
          </w:r>
        </w:sdtContent>
      </w:sdt>
      <w:r w:rsidR="00865CCF">
        <w:t xml:space="preserve"> </w:t>
      </w:r>
      <w:sdt>
        <w:sdtPr>
          <w:id w:val="-866754035"/>
          <w:placeholder>
            <w:docPart w:val="DefaultPlaceholder_-1854013440"/>
          </w:placeholder>
          <w15:color w:val="339966"/>
          <w15:appearance w15:val="hidden"/>
        </w:sdtPr>
        <w:sdtEndPr/>
        <w:sdtContent>
          <w:sdt>
            <w:sdtPr>
              <w:alias w:val="Move 3a"/>
              <w:tag w:val="Move 3a"/>
              <w:id w:val="1934852944"/>
              <w:lock w:val="sdtContentLocked"/>
              <w:placeholder>
                <w:docPart w:val="DefaultPlaceholder_-1854013440"/>
              </w:placeholder>
              <w15:color w:val="339966"/>
            </w:sdtPr>
            <w:sdtEndPr/>
            <w:sdtContent>
              <w:r w:rsidR="00865CCF">
                <w:t>Here, we have addressed this limitation for the endodermal lineage by developing a defined culture system to expand and differentiate human foregut stem cells (hFSCs) derived from hPSCs.</w:t>
              </w:r>
            </w:sdtContent>
          </w:sdt>
          <w:r w:rsidR="00865CCF">
            <w:t xml:space="preserve"> </w:t>
          </w:r>
          <w:sdt>
            <w:sdtPr>
              <w:alias w:val="Move 3c"/>
              <w:tag w:val="Move 3c"/>
              <w:id w:val="762655720"/>
              <w:lock w:val="sdtContentLocked"/>
              <w:placeholder>
                <w:docPart w:val="DefaultPlaceholder_-1854013440"/>
              </w:placeholder>
              <w15:color w:val="339966"/>
            </w:sdtPr>
            <w:sdtEndPr/>
            <w:sdtContent>
              <w:r w:rsidR="00865CCF">
                <w:t>hFSCs can self-renew while maintaining their capacity to differentiate into pancreatic and hepatic cells. Furthermore, near-homogenous populations of hFSCs can be obtained from hPSC lines which are normally refractory to endodermal differentiation.</w:t>
              </w:r>
            </w:sdtContent>
          </w:sdt>
          <w:r w:rsidR="00865CCF">
            <w:t xml:space="preserve"> </w:t>
          </w:r>
          <w:sdt>
            <w:sdtPr>
              <w:alias w:val="Move 3d"/>
              <w:tag w:val="Move 3d"/>
              <w:id w:val="-1968417015"/>
              <w:lock w:val="sdtContentLocked"/>
              <w:placeholder>
                <w:docPart w:val="DefaultPlaceholder_-1854013440"/>
              </w:placeholder>
              <w15:color w:val="339966"/>
            </w:sdtPr>
            <w:sdtEndPr/>
            <w:sdtContent>
              <w:r w:rsidR="00865CCF">
                <w:t>Therefore, hFSCs provide a unique approach to bypass variability between pluripotent lines in order to obtain a sustainable source of multipotent endoderm stem cells for basic studies and to produce a diversity of endodermal derivatives with a clinical value.</w:t>
              </w:r>
            </w:sdtContent>
          </w:sdt>
        </w:sdtContent>
      </w:sdt>
    </w:p>
    <w:p w:rsidR="000426EB" w:rsidRPr="00FD23AB" w:rsidRDefault="00865CCF" w:rsidP="000426EB">
      <w:pPr>
        <w:pStyle w:val="NoSpacing"/>
        <w:rPr>
          <w:b/>
          <w:sz w:val="20"/>
          <w:szCs w:val="20"/>
        </w:rPr>
      </w:pPr>
      <w:r w:rsidRPr="00FD23AB">
        <w:rPr>
          <w:b/>
          <w:sz w:val="20"/>
          <w:szCs w:val="20"/>
        </w:rPr>
        <w:t xml:space="preserve">Abstract 2 </w:t>
      </w:r>
    </w:p>
    <w:p w:rsidR="000426EB" w:rsidRDefault="000426EB" w:rsidP="000426EB">
      <w:pPr>
        <w:pStyle w:val="NoSpacing"/>
        <w:rPr>
          <w:rFonts w:cstheme="minorHAnsi"/>
          <w:i/>
          <w:sz w:val="16"/>
          <w:szCs w:val="16"/>
        </w:rPr>
      </w:pPr>
      <w:r w:rsidRPr="000426EB">
        <w:rPr>
          <w:rStyle w:val="text"/>
          <w:rFonts w:cstheme="minorHAnsi"/>
          <w:sz w:val="16"/>
          <w:szCs w:val="16"/>
        </w:rPr>
        <w:t xml:space="preserve">Johnson, D. </w:t>
      </w:r>
      <w:hyperlink r:id="rId7" w:anchor="!" w:history="1">
        <w:proofErr w:type="spellStart"/>
        <w:r w:rsidRPr="000426EB">
          <w:rPr>
            <w:rStyle w:val="text"/>
            <w:rFonts w:cstheme="minorHAnsi"/>
            <w:sz w:val="16"/>
            <w:szCs w:val="16"/>
          </w:rPr>
          <w:t>Deterding</w:t>
        </w:r>
        <w:proofErr w:type="spellEnd"/>
        <w:r w:rsidRPr="000426EB">
          <w:rPr>
            <w:rStyle w:val="text"/>
            <w:rFonts w:cstheme="minorHAnsi"/>
            <w:sz w:val="16"/>
            <w:szCs w:val="16"/>
          </w:rPr>
          <w:t xml:space="preserve">, S. </w:t>
        </w:r>
      </w:hyperlink>
      <w:bookmarkStart w:id="9" w:name="bau0015"/>
      <w:r w:rsidRPr="000426EB">
        <w:rPr>
          <w:rFonts w:cstheme="minorHAnsi"/>
          <w:sz w:val="16"/>
          <w:szCs w:val="16"/>
        </w:rPr>
        <w:fldChar w:fldCharType="begin"/>
      </w:r>
      <w:r w:rsidRPr="000426EB">
        <w:rPr>
          <w:rFonts w:cstheme="minorHAnsi"/>
          <w:sz w:val="16"/>
          <w:szCs w:val="16"/>
        </w:rPr>
        <w:instrText xml:space="preserve"> HYPERLINK "https://www-sciencedirect-com.ezproxy.lib.uts.edu.au/science/article/pii/S2214782916300380" \l "!" </w:instrText>
      </w:r>
      <w:r w:rsidRPr="000426EB">
        <w:rPr>
          <w:rFonts w:cstheme="minorHAnsi"/>
          <w:sz w:val="16"/>
          <w:szCs w:val="16"/>
        </w:rPr>
        <w:fldChar w:fldCharType="separate"/>
      </w:r>
      <w:r w:rsidRPr="000426EB">
        <w:rPr>
          <w:rStyle w:val="text"/>
          <w:rFonts w:cstheme="minorHAnsi"/>
          <w:sz w:val="16"/>
          <w:szCs w:val="16"/>
        </w:rPr>
        <w:t xml:space="preserve">Kuhn, K. </w:t>
      </w:r>
      <w:r w:rsidRPr="000426EB">
        <w:rPr>
          <w:rFonts w:cstheme="minorHAnsi"/>
          <w:sz w:val="16"/>
          <w:szCs w:val="16"/>
        </w:rPr>
        <w:fldChar w:fldCharType="end"/>
      </w:r>
      <w:bookmarkStart w:id="10" w:name="bau0020"/>
      <w:bookmarkEnd w:id="9"/>
      <w:proofErr w:type="spellStart"/>
      <w:r w:rsidRPr="000426EB">
        <w:rPr>
          <w:rStyle w:val="text"/>
          <w:rFonts w:cstheme="minorHAnsi"/>
          <w:sz w:val="16"/>
          <w:szCs w:val="16"/>
        </w:rPr>
        <w:t>Staneva</w:t>
      </w:r>
      <w:proofErr w:type="spellEnd"/>
      <w:r w:rsidRPr="000426EB">
        <w:rPr>
          <w:rStyle w:val="text"/>
          <w:rFonts w:cstheme="minorHAnsi"/>
          <w:sz w:val="16"/>
          <w:szCs w:val="16"/>
        </w:rPr>
        <w:t xml:space="preserve">, A. </w:t>
      </w:r>
      <w:bookmarkStart w:id="11" w:name="bau0025"/>
      <w:bookmarkEnd w:id="10"/>
      <w:r w:rsidRPr="000426EB">
        <w:rPr>
          <w:rFonts w:cstheme="minorHAnsi"/>
          <w:sz w:val="16"/>
          <w:szCs w:val="16"/>
        </w:rPr>
        <w:fldChar w:fldCharType="begin"/>
      </w:r>
      <w:r w:rsidRPr="000426EB">
        <w:rPr>
          <w:rFonts w:cstheme="minorHAnsi"/>
          <w:sz w:val="16"/>
          <w:szCs w:val="16"/>
        </w:rPr>
        <w:instrText xml:space="preserve"> HYPERLINK "https://www-sciencedirect-com.ezproxy.lib.uts.edu.au/science/article/pii/S2214782916300380" \l "!" </w:instrText>
      </w:r>
      <w:r w:rsidRPr="000426EB">
        <w:rPr>
          <w:rFonts w:cstheme="minorHAnsi"/>
          <w:sz w:val="16"/>
          <w:szCs w:val="16"/>
        </w:rPr>
        <w:fldChar w:fldCharType="separate"/>
      </w:r>
      <w:proofErr w:type="spellStart"/>
      <w:r w:rsidRPr="000426EB">
        <w:rPr>
          <w:rStyle w:val="text"/>
          <w:rFonts w:cstheme="minorHAnsi"/>
          <w:sz w:val="16"/>
          <w:szCs w:val="16"/>
        </w:rPr>
        <w:t>Stoyanov</w:t>
      </w:r>
      <w:proofErr w:type="spellEnd"/>
      <w:r w:rsidRPr="000426EB">
        <w:rPr>
          <w:rStyle w:val="text"/>
          <w:rFonts w:cstheme="minorHAnsi"/>
          <w:sz w:val="16"/>
          <w:szCs w:val="16"/>
        </w:rPr>
        <w:t xml:space="preserve">, S. </w:t>
      </w:r>
      <w:r w:rsidRPr="000426EB">
        <w:rPr>
          <w:rFonts w:cstheme="minorHAnsi"/>
          <w:sz w:val="16"/>
          <w:szCs w:val="16"/>
        </w:rPr>
        <w:fldChar w:fldCharType="end"/>
      </w:r>
      <w:bookmarkStart w:id="12" w:name="bau0030"/>
      <w:bookmarkEnd w:id="11"/>
      <w:r w:rsidRPr="000426EB">
        <w:rPr>
          <w:rFonts w:cstheme="minorHAnsi"/>
          <w:sz w:val="16"/>
          <w:szCs w:val="16"/>
        </w:rPr>
        <w:fldChar w:fldCharType="begin"/>
      </w:r>
      <w:r w:rsidRPr="000426EB">
        <w:rPr>
          <w:rFonts w:cstheme="minorHAnsi"/>
          <w:sz w:val="16"/>
          <w:szCs w:val="16"/>
        </w:rPr>
        <w:instrText xml:space="preserve"> HYPERLINK "https://www-sciencedirect-com.ezproxy.lib.uts.edu.au/science/article/pii/S2214782916300380" \l "!" </w:instrText>
      </w:r>
      <w:r w:rsidRPr="000426EB">
        <w:rPr>
          <w:rFonts w:cstheme="minorHAnsi"/>
          <w:sz w:val="16"/>
          <w:szCs w:val="16"/>
        </w:rPr>
        <w:fldChar w:fldCharType="separate"/>
      </w:r>
      <w:r w:rsidRPr="000426EB">
        <w:rPr>
          <w:rStyle w:val="text"/>
          <w:rFonts w:cstheme="minorHAnsi"/>
          <w:sz w:val="16"/>
          <w:szCs w:val="16"/>
        </w:rPr>
        <w:t xml:space="preserve">Hides, L. </w:t>
      </w:r>
      <w:r w:rsidRPr="000426EB">
        <w:rPr>
          <w:rFonts w:cstheme="minorHAnsi"/>
          <w:sz w:val="16"/>
          <w:szCs w:val="16"/>
        </w:rPr>
        <w:fldChar w:fldCharType="end"/>
      </w:r>
      <w:bookmarkEnd w:id="12"/>
      <w:r w:rsidRPr="000426EB">
        <w:rPr>
          <w:rFonts w:cstheme="minorHAnsi"/>
          <w:sz w:val="16"/>
          <w:szCs w:val="16"/>
        </w:rPr>
        <w:t xml:space="preserve">(2016). Gamification for health and wellbeing: A systematic review of the literature. </w:t>
      </w:r>
      <w:r w:rsidRPr="000426EB">
        <w:rPr>
          <w:rFonts w:cstheme="minorHAnsi"/>
          <w:i/>
          <w:sz w:val="16"/>
          <w:szCs w:val="16"/>
        </w:rPr>
        <w:t xml:space="preserve">Internet Interventions (6), 89-106. </w:t>
      </w:r>
    </w:p>
    <w:p w:rsidR="00320954" w:rsidRPr="00320954" w:rsidRDefault="00320954" w:rsidP="00320954">
      <w:pPr>
        <w:pStyle w:val="NoSpacing"/>
        <w:rPr>
          <w:rFonts w:cstheme="minorHAnsi"/>
          <w:sz w:val="16"/>
          <w:szCs w:val="16"/>
        </w:rPr>
      </w:pPr>
      <w:r>
        <w:rPr>
          <w:rFonts w:cstheme="minorHAnsi"/>
          <w:sz w:val="16"/>
          <w:szCs w:val="16"/>
        </w:rPr>
        <w:t xml:space="preserve">Reproduced under Creative Commons license 4.0 </w:t>
      </w:r>
      <w:r w:rsidRPr="00320954">
        <w:rPr>
          <w:rFonts w:cstheme="minorHAnsi"/>
          <w:sz w:val="16"/>
          <w:szCs w:val="16"/>
        </w:rPr>
        <w:t>https://creativecommons.org/licenses/by/4.0/legalcode</w:t>
      </w:r>
    </w:p>
    <w:p w:rsidR="000426EB" w:rsidRPr="000426EB" w:rsidRDefault="000426EB" w:rsidP="000426EB">
      <w:pPr>
        <w:pStyle w:val="NoSpacing"/>
        <w:rPr>
          <w:rFonts w:cstheme="minorHAnsi"/>
          <w:sz w:val="16"/>
          <w:szCs w:val="16"/>
        </w:rPr>
      </w:pPr>
    </w:p>
    <w:p w:rsidR="00865CCF" w:rsidRDefault="005F1868" w:rsidP="00865CCF">
      <w:sdt>
        <w:sdtPr>
          <w:alias w:val="Move 1"/>
          <w:tag w:val="Move 1"/>
          <w:id w:val="1270505559"/>
          <w:lock w:val="sdtContentLocked"/>
          <w:placeholder>
            <w:docPart w:val="DefaultPlaceholder_-1854013440"/>
          </w:placeholder>
          <w15:color w:val="FF99CC"/>
        </w:sdtPr>
        <w:sdtEndPr/>
        <w:sdtContent>
          <w:r w:rsidR="00865CCF">
            <w:t>Compared to traditional persuasive technology and health games, gamification is posited to offer several advantages for motivating behaviour change for health and well-being, and</w:t>
          </w:r>
          <w:r w:rsidR="00536B85">
            <w:t xml:space="preserve"> is</w:t>
          </w:r>
          <w:r w:rsidR="00865CCF">
            <w:t xml:space="preserve"> increasingly used.</w:t>
          </w:r>
        </w:sdtContent>
      </w:sdt>
      <w:r w:rsidR="00865CCF">
        <w:t xml:space="preserve"> </w:t>
      </w:r>
      <w:sdt>
        <w:sdtPr>
          <w:alias w:val="Move 2"/>
          <w:tag w:val="Move 2"/>
          <w:id w:val="1398481131"/>
          <w:placeholder>
            <w:docPart w:val="DefaultPlaceholder_-1854013440"/>
          </w:placeholder>
          <w15:color w:val="00CCFF"/>
        </w:sdtPr>
        <w:sdtEndPr/>
        <w:sdtContent>
          <w:r w:rsidR="00865CCF">
            <w:t>Yet little is known about its effectiveness.</w:t>
          </w:r>
        </w:sdtContent>
      </w:sdt>
      <w:r w:rsidR="00865CCF">
        <w:t xml:space="preserve"> </w:t>
      </w:r>
      <w:sdt>
        <w:sdtPr>
          <w:alias w:val="Move 3a"/>
          <w:tag w:val="Move 3a"/>
          <w:id w:val="-953856777"/>
          <w:lock w:val="sdtContentLocked"/>
          <w:placeholder>
            <w:docPart w:val="DefaultPlaceholder_-1854013440"/>
          </w:placeholder>
          <w15:color w:val="339966"/>
        </w:sdtPr>
        <w:sdtEndPr/>
        <w:sdtContent>
          <w:r w:rsidR="00865CCF">
            <w:t>We aimed to assess the amount and quality of empirical support for the advantages and effectiveness of gamification applied to health and well-being.</w:t>
          </w:r>
        </w:sdtContent>
      </w:sdt>
      <w:r w:rsidR="00865CCF">
        <w:t xml:space="preserve"> </w:t>
      </w:r>
      <w:sdt>
        <w:sdtPr>
          <w:alias w:val="Move 3c"/>
          <w:tag w:val="Move 3c"/>
          <w:id w:val="-513769511"/>
          <w:lock w:val="sdtContentLocked"/>
          <w:placeholder>
            <w:docPart w:val="DefaultPlaceholder_-1854013440"/>
          </w:placeholder>
          <w15:color w:val="008000"/>
        </w:sdtPr>
        <w:sdtEndPr/>
        <w:sdtContent>
          <w:r w:rsidR="00865CCF">
            <w:t>We identified seven potential advantages of gamification from existing research and conducted a systematic literature review of empirical studies on gamification for health and well-being, assessing quality of evidence, effect type, and application domain. We identified 19 papers that report empirical evidence on the effect of gamification on health and well-being. 59% reported positive, 41% mixed effects, with mostly moderate or lower quality of evidence provided. Results were clear for health-related behaviours, but mixed for cognitive outcomes. The current state of evidence supports that gamification can have a positive impact in health and wellbeing, particularly for health behaviours. However several studies report mixed or neutral effect. Findings need to be interpreted with caution due to the relatively small number of studies and methodological limitations of many studies (e.g., a lack of comparison of gamified interventions to non-gamified versions of the intervention).</w:t>
          </w:r>
        </w:sdtContent>
      </w:sdt>
    </w:p>
    <w:p w:rsidR="00865CCF" w:rsidRPr="00FD23AB" w:rsidRDefault="00865CCF" w:rsidP="000426EB">
      <w:pPr>
        <w:pStyle w:val="NoSpacing"/>
        <w:rPr>
          <w:b/>
          <w:sz w:val="20"/>
          <w:szCs w:val="20"/>
        </w:rPr>
      </w:pPr>
      <w:r w:rsidRPr="00FD23AB">
        <w:rPr>
          <w:b/>
          <w:sz w:val="20"/>
          <w:szCs w:val="20"/>
        </w:rPr>
        <w:t>Abstract 3</w:t>
      </w:r>
    </w:p>
    <w:p w:rsidR="000426EB" w:rsidRDefault="000426EB" w:rsidP="000426EB">
      <w:pPr>
        <w:pStyle w:val="NoSpacing"/>
        <w:rPr>
          <w:sz w:val="16"/>
          <w:szCs w:val="16"/>
        </w:rPr>
      </w:pPr>
      <w:bookmarkStart w:id="13" w:name="bau0005"/>
      <w:proofErr w:type="spellStart"/>
      <w:r w:rsidRPr="000426EB">
        <w:rPr>
          <w:rStyle w:val="text"/>
          <w:sz w:val="16"/>
          <w:szCs w:val="16"/>
        </w:rPr>
        <w:t>Asrar-ul-Haq</w:t>
      </w:r>
      <w:bookmarkStart w:id="14" w:name="bau0010"/>
      <w:bookmarkEnd w:id="13"/>
      <w:proofErr w:type="spellEnd"/>
      <w:r w:rsidRPr="000426EB">
        <w:rPr>
          <w:rStyle w:val="text"/>
          <w:sz w:val="16"/>
          <w:szCs w:val="16"/>
        </w:rPr>
        <w:t xml:space="preserve">, M. </w:t>
      </w:r>
      <w:proofErr w:type="spellStart"/>
      <w:r w:rsidRPr="000426EB">
        <w:rPr>
          <w:rStyle w:val="text"/>
          <w:sz w:val="16"/>
          <w:szCs w:val="16"/>
        </w:rPr>
        <w:t>Kuchinke</w:t>
      </w:r>
      <w:bookmarkEnd w:id="14"/>
      <w:proofErr w:type="spellEnd"/>
      <w:r w:rsidRPr="000426EB">
        <w:rPr>
          <w:sz w:val="16"/>
          <w:szCs w:val="16"/>
        </w:rPr>
        <w:t xml:space="preserve">, P.  (2016). Impact of leadership styles on employees’ attitude towards their leader and performance: Empirical evidence from Pakistani banks. </w:t>
      </w:r>
      <w:r w:rsidRPr="000426EB">
        <w:rPr>
          <w:i/>
          <w:sz w:val="16"/>
          <w:szCs w:val="16"/>
        </w:rPr>
        <w:t>Future Business Journal, 2</w:t>
      </w:r>
      <w:r w:rsidRPr="000426EB">
        <w:rPr>
          <w:sz w:val="16"/>
          <w:szCs w:val="16"/>
        </w:rPr>
        <w:t xml:space="preserve"> (1), 54-56. </w:t>
      </w:r>
    </w:p>
    <w:p w:rsidR="00320954" w:rsidRPr="000426EB" w:rsidRDefault="00320954" w:rsidP="00320954">
      <w:pPr>
        <w:pStyle w:val="NoSpacing"/>
        <w:rPr>
          <w:sz w:val="16"/>
          <w:szCs w:val="16"/>
        </w:rPr>
      </w:pPr>
      <w:r>
        <w:rPr>
          <w:rFonts w:cstheme="minorHAnsi"/>
          <w:sz w:val="16"/>
          <w:szCs w:val="16"/>
        </w:rPr>
        <w:t>Reproduced under Creative Commons license</w:t>
      </w:r>
      <w:r w:rsidR="004E50A4">
        <w:rPr>
          <w:rFonts w:cstheme="minorHAnsi"/>
          <w:sz w:val="16"/>
          <w:szCs w:val="16"/>
        </w:rPr>
        <w:t xml:space="preserve"> 4.0</w:t>
      </w:r>
      <w:r w:rsidR="004E50A4" w:rsidRPr="004E50A4">
        <w:rPr>
          <w:rFonts w:cstheme="minorHAnsi"/>
          <w:sz w:val="16"/>
          <w:szCs w:val="16"/>
        </w:rPr>
        <w:t>-NC-ND</w:t>
      </w:r>
      <w:r w:rsidR="004E50A4">
        <w:rPr>
          <w:rFonts w:cstheme="minorHAnsi"/>
          <w:sz w:val="16"/>
          <w:szCs w:val="16"/>
        </w:rPr>
        <w:t xml:space="preserve"> </w:t>
      </w:r>
      <w:bookmarkStart w:id="15" w:name="_GoBack"/>
      <w:bookmarkEnd w:id="15"/>
      <w:r w:rsidR="003C4045" w:rsidRPr="003C4045">
        <w:rPr>
          <w:rFonts w:cstheme="minorHAnsi"/>
          <w:sz w:val="16"/>
          <w:szCs w:val="16"/>
        </w:rPr>
        <w:t>https://creativecommons.org/licenses/by-nc-nd/4.0/legalcode</w:t>
      </w:r>
    </w:p>
    <w:p w:rsidR="000426EB" w:rsidRPr="000426EB" w:rsidRDefault="000426EB" w:rsidP="000426EB">
      <w:pPr>
        <w:pStyle w:val="NoSpacing"/>
        <w:rPr>
          <w:rFonts w:cstheme="minorHAnsi"/>
          <w:i/>
          <w:sz w:val="16"/>
          <w:szCs w:val="16"/>
        </w:rPr>
      </w:pPr>
    </w:p>
    <w:p w:rsidR="00865CCF" w:rsidRDefault="005F1868" w:rsidP="000426EB">
      <w:sdt>
        <w:sdtPr>
          <w:alias w:val="Move 3a"/>
          <w:tag w:val="Move 3a"/>
          <w:id w:val="-1101568224"/>
          <w:lock w:val="sdtContentLocked"/>
          <w:placeholder>
            <w:docPart w:val="DefaultPlaceholder_-1854013440"/>
          </w:placeholder>
          <w15:color w:val="008000"/>
        </w:sdtPr>
        <w:sdtEndPr/>
        <w:sdtContent>
          <w:r w:rsidR="000426EB" w:rsidRPr="000426EB">
            <w:t>This paper reports the findings of a study examining the impact of managers’ leadership styles on subordinates’ performance. The impact of leadership styles on employee performance outcomes is explored theoretically and tested empirically in the Pakistani banking sector. The sample of the study consisted of 224 full-time employees in the banking sector of Pakistan.</w:t>
          </w:r>
        </w:sdtContent>
      </w:sdt>
      <w:r w:rsidR="000426EB" w:rsidRPr="000426EB">
        <w:t xml:space="preserve"> </w:t>
      </w:r>
      <w:sdt>
        <w:sdtPr>
          <w:alias w:val="Move 3c"/>
          <w:tag w:val="Move 3c"/>
          <w:id w:val="-1865514939"/>
          <w:lock w:val="sdtContentLocked"/>
          <w:placeholder>
            <w:docPart w:val="DefaultPlaceholder_-1854013440"/>
          </w:placeholder>
          <w15:color w:val="008000"/>
        </w:sdtPr>
        <w:sdtEndPr/>
        <w:sdtContent>
          <w:r w:rsidR="000426EB" w:rsidRPr="000426EB">
            <w:t>Findings of this study reveal that there exists a significant relationship between transformational leadership and employee performance outcomes. However, laissez-faire leadership style showed negative relationship with employee performance outcomes in terms of effectiveness, and employee satisfaction.</w:t>
          </w:r>
        </w:sdtContent>
      </w:sdt>
      <w:r w:rsidR="000426EB" w:rsidRPr="000426EB">
        <w:t xml:space="preserve"> </w:t>
      </w:r>
      <w:sdt>
        <w:sdtPr>
          <w:alias w:val="Move 2"/>
          <w:tag w:val="Move 2"/>
          <w:id w:val="1217003226"/>
          <w:lock w:val="sdtContentLocked"/>
          <w:placeholder>
            <w:docPart w:val="DefaultPlaceholder_-1854013440"/>
          </w:placeholder>
          <w15:color w:val="00CCFF"/>
        </w:sdtPr>
        <w:sdtEndPr/>
        <w:sdtContent>
          <w:r w:rsidR="000426EB" w:rsidRPr="000426EB">
            <w:t>Banking industry in Pakistan is prone to numerous challenges including employee turnover.</w:t>
          </w:r>
        </w:sdtContent>
      </w:sdt>
      <w:r w:rsidR="000426EB" w:rsidRPr="000426EB">
        <w:t xml:space="preserve"> </w:t>
      </w:r>
      <w:sdt>
        <w:sdtPr>
          <w:alias w:val="Move 3d"/>
          <w:tag w:val="Move 3d"/>
          <w:id w:val="1611084380"/>
          <w:lock w:val="sdtContentLocked"/>
          <w:placeholder>
            <w:docPart w:val="DefaultPlaceholder_-1854013440"/>
          </w:placeholder>
          <w15:color w:val="008000"/>
        </w:sdtPr>
        <w:sdtEndPr/>
        <w:sdtContent>
          <w:r w:rsidR="000426EB" w:rsidRPr="000426EB">
            <w:t>Model presented in the study will be helpful for the human resource managers and top management to design effective leadership development programs. HRD department can be established and HRD professionals can be hired to assist the managers in organizing training and development programs. Further, it may help to design strategies to satisfy, retain and motivate the employees. Also, it will help the managers decide, which leadership style they should choose in terms of outcomes.</w:t>
          </w:r>
        </w:sdtContent>
      </w:sdt>
    </w:p>
    <w:sectPr w:rsidR="00865CCF" w:rsidSect="003C4045">
      <w:headerReference w:type="default" r:id="rId8"/>
      <w:footerReference w:type="default" r:id="rId9"/>
      <w:pgSz w:w="11906" w:h="16838"/>
      <w:pgMar w:top="1134" w:right="1077" w:bottom="1440" w:left="1077"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868" w:rsidRDefault="005F1868" w:rsidP="003E3DF6">
      <w:pPr>
        <w:spacing w:after="0" w:line="240" w:lineRule="auto"/>
      </w:pPr>
      <w:r>
        <w:separator/>
      </w:r>
    </w:p>
  </w:endnote>
  <w:endnote w:type="continuationSeparator" w:id="0">
    <w:p w:rsidR="005F1868" w:rsidRDefault="005F1868" w:rsidP="003E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F6" w:rsidRPr="00AC7B62" w:rsidRDefault="003C4045" w:rsidP="003C4045">
    <w:pPr>
      <w:pStyle w:val="Footer"/>
      <w:rPr>
        <w:sz w:val="18"/>
        <w:szCs w:val="18"/>
      </w:rPr>
    </w:pPr>
    <w:r w:rsidRPr="00AC7B62">
      <w:rPr>
        <w:color w:val="000000"/>
        <w:sz w:val="18"/>
        <w:szCs w:val="18"/>
      </w:rPr>
      <w:t xml:space="preserve">Session 1 - Learning Activity 2: marked up copy of abstracts by Sophie Abel (University of Technology Sydney) available at </w:t>
    </w:r>
    <w:r w:rsidR="00AC7B62" w:rsidRPr="00AC7B62">
      <w:rPr>
        <w:color w:val="000000"/>
        <w:sz w:val="18"/>
        <w:szCs w:val="18"/>
      </w:rPr>
      <w:t>http://heta.io/resources/wawa-improving-research-abstracts-intros/</w:t>
    </w:r>
    <w:r w:rsidRPr="00AC7B62">
      <w:rPr>
        <w:color w:val="000000"/>
        <w:sz w:val="18"/>
        <w:szCs w:val="18"/>
      </w:rPr>
      <w:t xml:space="preserve">under a </w:t>
    </w:r>
    <w:hyperlink r:id="rId1" w:history="1">
      <w:r w:rsidRPr="00AC7B62">
        <w:rPr>
          <w:rStyle w:val="Hyperlink"/>
          <w:sz w:val="18"/>
          <w:szCs w:val="18"/>
        </w:rPr>
        <w:t>Creative Commons BY-SA 4.0</w:t>
      </w:r>
    </w:hyperlink>
    <w:r w:rsidRPr="00AC7B62">
      <w:rPr>
        <w:color w:val="000000"/>
        <w:sz w:val="18"/>
        <w:szCs w:val="18"/>
      </w:rPr>
      <w:t xml:space="preserve"> license.</w:t>
    </w:r>
    <w:r w:rsidR="00AC7B62" w:rsidRPr="00AC7B62">
      <w:rPr>
        <w:color w:val="000000"/>
        <w:sz w:val="18"/>
        <w:szCs w:val="18"/>
      </w:rPr>
      <w:t xml:space="preserve"> </w:t>
    </w:r>
    <w:r w:rsidR="00AC7B62">
      <w:rPr>
        <w:noProof/>
        <w:lang w:eastAsia="en-AU"/>
      </w:rPr>
      <w:drawing>
        <wp:inline distT="0" distB="0" distL="0" distR="0" wp14:anchorId="2B90E708" wp14:editId="2F63DFFF">
          <wp:extent cx="379254" cy="133519"/>
          <wp:effectExtent l="0" t="0" r="1905" b="0"/>
          <wp:docPr id="2" name="Picture 2" descr="Thumbnail for version as of 11:10, 14 Januar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for version as of 11:10, 14 January 20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505919" cy="178112"/>
                  </a:xfrm>
                  <a:prstGeom prst="rect">
                    <a:avLst/>
                  </a:prstGeom>
                  <a:noFill/>
                  <a:ln>
                    <a:noFill/>
                  </a:ln>
                </pic:spPr>
              </pic:pic>
            </a:graphicData>
          </a:graphic>
        </wp:inline>
      </w:drawing>
    </w:r>
    <w:r w:rsidRPr="00AC7B62">
      <w:rPr>
        <w:color w:val="000000"/>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868" w:rsidRDefault="005F1868" w:rsidP="003E3DF6">
      <w:pPr>
        <w:spacing w:after="0" w:line="240" w:lineRule="auto"/>
      </w:pPr>
      <w:r>
        <w:separator/>
      </w:r>
    </w:p>
  </w:footnote>
  <w:footnote w:type="continuationSeparator" w:id="0">
    <w:p w:rsidR="005F1868" w:rsidRDefault="005F1868" w:rsidP="003E3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45" w:rsidRPr="004E50A4" w:rsidRDefault="003C4045" w:rsidP="003E3DF6">
    <w:pPr>
      <w:pStyle w:val="Header"/>
      <w:rPr>
        <w:sz w:val="18"/>
        <w:szCs w:val="18"/>
      </w:rPr>
    </w:pPr>
    <w:r w:rsidRPr="004E50A4">
      <w:rPr>
        <w:sz w:val="18"/>
        <w:szCs w:val="18"/>
      </w:rPr>
      <w:t>Session 1 - Learning Activity 2: m</w:t>
    </w:r>
    <w:r w:rsidR="003E3DF6" w:rsidRPr="004E50A4">
      <w:rPr>
        <w:sz w:val="18"/>
        <w:szCs w:val="18"/>
      </w:rPr>
      <w:t xml:space="preserve">arked up copy of </w:t>
    </w:r>
    <w:r w:rsidRPr="004E50A4">
      <w:rPr>
        <w:sz w:val="18"/>
        <w:szCs w:val="18"/>
      </w:rPr>
      <w:t>a</w:t>
    </w:r>
    <w:r w:rsidR="003E3DF6" w:rsidRPr="004E50A4">
      <w:rPr>
        <w:sz w:val="18"/>
        <w:szCs w:val="18"/>
      </w:rPr>
      <w:t>bstracts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CF"/>
    <w:rsid w:val="000426EB"/>
    <w:rsid w:val="000E75E7"/>
    <w:rsid w:val="000F3C0E"/>
    <w:rsid w:val="002618F1"/>
    <w:rsid w:val="00320954"/>
    <w:rsid w:val="00337A1A"/>
    <w:rsid w:val="00363109"/>
    <w:rsid w:val="003B4CFB"/>
    <w:rsid w:val="003C4045"/>
    <w:rsid w:val="003E3DF6"/>
    <w:rsid w:val="004E50A4"/>
    <w:rsid w:val="00536B85"/>
    <w:rsid w:val="005C6FA5"/>
    <w:rsid w:val="005F1868"/>
    <w:rsid w:val="00785FE0"/>
    <w:rsid w:val="00865CCF"/>
    <w:rsid w:val="00AC7B62"/>
    <w:rsid w:val="00BB1A3A"/>
    <w:rsid w:val="00BF76C0"/>
    <w:rsid w:val="00D2783F"/>
    <w:rsid w:val="00E267CC"/>
    <w:rsid w:val="00FD23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CDFA2"/>
  <w15:chartTrackingRefBased/>
  <w15:docId w15:val="{2FF5918F-1196-485E-97F2-FCF45105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65CCF"/>
  </w:style>
  <w:style w:type="character" w:customStyle="1" w:styleId="author-ref">
    <w:name w:val="author-ref"/>
    <w:basedOn w:val="DefaultParagraphFont"/>
    <w:rsid w:val="000426EB"/>
  </w:style>
  <w:style w:type="paragraph" w:styleId="NoSpacing">
    <w:name w:val="No Spacing"/>
    <w:uiPriority w:val="1"/>
    <w:qFormat/>
    <w:rsid w:val="000426EB"/>
    <w:pPr>
      <w:spacing w:after="0" w:line="240" w:lineRule="auto"/>
    </w:pPr>
  </w:style>
  <w:style w:type="character" w:styleId="PlaceholderText">
    <w:name w:val="Placeholder Text"/>
    <w:basedOn w:val="DefaultParagraphFont"/>
    <w:uiPriority w:val="99"/>
    <w:semiHidden/>
    <w:rsid w:val="00536B85"/>
    <w:rPr>
      <w:color w:val="808080"/>
    </w:rPr>
  </w:style>
  <w:style w:type="paragraph" w:styleId="Header">
    <w:name w:val="header"/>
    <w:basedOn w:val="Normal"/>
    <w:link w:val="HeaderChar"/>
    <w:uiPriority w:val="99"/>
    <w:unhideWhenUsed/>
    <w:rsid w:val="003E3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DF6"/>
  </w:style>
  <w:style w:type="paragraph" w:styleId="Footer">
    <w:name w:val="footer"/>
    <w:basedOn w:val="Normal"/>
    <w:link w:val="FooterChar"/>
    <w:uiPriority w:val="99"/>
    <w:unhideWhenUsed/>
    <w:rsid w:val="003E3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DF6"/>
  </w:style>
  <w:style w:type="character" w:styleId="Hyperlink">
    <w:name w:val="Hyperlink"/>
    <w:basedOn w:val="DefaultParagraphFont"/>
    <w:uiPriority w:val="99"/>
    <w:semiHidden/>
    <w:unhideWhenUsed/>
    <w:rsid w:val="003C40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1567">
      <w:bodyDiv w:val="1"/>
      <w:marLeft w:val="0"/>
      <w:marRight w:val="0"/>
      <w:marTop w:val="0"/>
      <w:marBottom w:val="0"/>
      <w:divBdr>
        <w:top w:val="none" w:sz="0" w:space="0" w:color="auto"/>
        <w:left w:val="none" w:sz="0" w:space="0" w:color="auto"/>
        <w:bottom w:val="none" w:sz="0" w:space="0" w:color="auto"/>
        <w:right w:val="none" w:sz="0" w:space="0" w:color="auto"/>
      </w:divBdr>
    </w:div>
    <w:div w:id="191379975">
      <w:bodyDiv w:val="1"/>
      <w:marLeft w:val="0"/>
      <w:marRight w:val="0"/>
      <w:marTop w:val="0"/>
      <w:marBottom w:val="0"/>
      <w:divBdr>
        <w:top w:val="none" w:sz="0" w:space="0" w:color="auto"/>
        <w:left w:val="none" w:sz="0" w:space="0" w:color="auto"/>
        <w:bottom w:val="none" w:sz="0" w:space="0" w:color="auto"/>
        <w:right w:val="none" w:sz="0" w:space="0" w:color="auto"/>
      </w:divBdr>
    </w:div>
    <w:div w:id="921645845">
      <w:bodyDiv w:val="1"/>
      <w:marLeft w:val="0"/>
      <w:marRight w:val="0"/>
      <w:marTop w:val="0"/>
      <w:marBottom w:val="0"/>
      <w:divBdr>
        <w:top w:val="none" w:sz="0" w:space="0" w:color="auto"/>
        <w:left w:val="none" w:sz="0" w:space="0" w:color="auto"/>
        <w:bottom w:val="none" w:sz="0" w:space="0" w:color="auto"/>
        <w:right w:val="none" w:sz="0" w:space="0" w:color="auto"/>
      </w:divBdr>
    </w:div>
    <w:div w:id="970328246">
      <w:bodyDiv w:val="1"/>
      <w:marLeft w:val="0"/>
      <w:marRight w:val="0"/>
      <w:marTop w:val="0"/>
      <w:marBottom w:val="0"/>
      <w:divBdr>
        <w:top w:val="none" w:sz="0" w:space="0" w:color="auto"/>
        <w:left w:val="none" w:sz="0" w:space="0" w:color="auto"/>
        <w:bottom w:val="none" w:sz="0" w:space="0" w:color="auto"/>
        <w:right w:val="none" w:sz="0" w:space="0" w:color="auto"/>
      </w:divBdr>
    </w:div>
    <w:div w:id="1147481208">
      <w:bodyDiv w:val="1"/>
      <w:marLeft w:val="0"/>
      <w:marRight w:val="0"/>
      <w:marTop w:val="0"/>
      <w:marBottom w:val="0"/>
      <w:divBdr>
        <w:top w:val="none" w:sz="0" w:space="0" w:color="auto"/>
        <w:left w:val="none" w:sz="0" w:space="0" w:color="auto"/>
        <w:bottom w:val="none" w:sz="0" w:space="0" w:color="auto"/>
        <w:right w:val="none" w:sz="0" w:space="0" w:color="auto"/>
      </w:divBdr>
    </w:div>
    <w:div w:id="1390808053">
      <w:bodyDiv w:val="1"/>
      <w:marLeft w:val="0"/>
      <w:marRight w:val="0"/>
      <w:marTop w:val="0"/>
      <w:marBottom w:val="0"/>
      <w:divBdr>
        <w:top w:val="none" w:sz="0" w:space="0" w:color="auto"/>
        <w:left w:val="none" w:sz="0" w:space="0" w:color="auto"/>
        <w:bottom w:val="none" w:sz="0" w:space="0" w:color="auto"/>
        <w:right w:val="none" w:sz="0" w:space="0" w:color="auto"/>
      </w:divBdr>
    </w:div>
    <w:div w:id="1766343253">
      <w:bodyDiv w:val="1"/>
      <w:marLeft w:val="0"/>
      <w:marRight w:val="0"/>
      <w:marTop w:val="0"/>
      <w:marBottom w:val="0"/>
      <w:divBdr>
        <w:top w:val="none" w:sz="0" w:space="0" w:color="auto"/>
        <w:left w:val="none" w:sz="0" w:space="0" w:color="auto"/>
        <w:bottom w:val="none" w:sz="0" w:space="0" w:color="auto"/>
        <w:right w:val="none" w:sz="0" w:space="0" w:color="auto"/>
      </w:divBdr>
    </w:div>
    <w:div w:id="186929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ciencedirect-com.ezproxy.lib.uts.edu.au/science/article/pii/S221478291630038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ezproxy.lib.uts.edu.au/science/article/pii/S2213671113000908"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sa/4.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0E7E526-43CC-46CC-8737-3CEB896ECE3B}"/>
      </w:docPartPr>
      <w:docPartBody>
        <w:p w:rsidR="00DA2606" w:rsidRDefault="00347828">
          <w:r w:rsidRPr="00F705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28"/>
    <w:rsid w:val="00347828"/>
    <w:rsid w:val="005217A4"/>
    <w:rsid w:val="00731ADF"/>
    <w:rsid w:val="009D18A5"/>
    <w:rsid w:val="00BB3E3F"/>
    <w:rsid w:val="00DA2606"/>
    <w:rsid w:val="00FB46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78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Abel</dc:creator>
  <cp:keywords/>
  <dc:description/>
  <cp:lastModifiedBy>Sophie Abel</cp:lastModifiedBy>
  <cp:revision>7</cp:revision>
  <dcterms:created xsi:type="dcterms:W3CDTF">2018-04-11T00:28:00Z</dcterms:created>
  <dcterms:modified xsi:type="dcterms:W3CDTF">2018-05-04T06:10:00Z</dcterms:modified>
</cp:coreProperties>
</file>